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67" w:rsidRDefault="007D5F67" w:rsidP="007D5F67">
      <w:pPr>
        <w:pStyle w:val="p1"/>
        <w:jc w:val="center"/>
      </w:pPr>
      <w:r>
        <w:rPr>
          <w:rStyle w:val="s1"/>
          <w:b/>
          <w:bCs/>
        </w:rPr>
        <w:t>Материалы для подготовки реферата</w:t>
      </w:r>
    </w:p>
    <w:p w:rsidR="007D5F67" w:rsidRDefault="007D5F67" w:rsidP="007D5F67">
      <w:pPr>
        <w:pStyle w:val="p3"/>
        <w:ind w:firstLine="708"/>
        <w:jc w:val="both"/>
      </w:pPr>
      <w:r>
        <w:t>Основной целью подготовки письменной работы в форме реферата является выработка практических навыков в исследовательской сфере. Реферат должен содержать письменный анализ правового режима осуществления конкретного вида предпринимательской деятельности.</w:t>
      </w:r>
    </w:p>
    <w:p w:rsidR="007D5F67" w:rsidRDefault="007D5F67" w:rsidP="007D5F67">
      <w:pPr>
        <w:pStyle w:val="p3"/>
        <w:ind w:firstLine="708"/>
        <w:jc w:val="both"/>
      </w:pPr>
      <w:r>
        <w:t>Реферат готовится в соответствии с заданной темой. Тема устанавливается для студента преподавателем и не может быть самостоятельно изменена. Номер темы соответствует номеру в списке группы в соответствии с журналом.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rPr>
          <w:rStyle w:val="s2"/>
          <w:b/>
          <w:bCs/>
          <w:i/>
          <w:iCs/>
        </w:rPr>
        <w:t>Рекомендации по выполнению письменного анализа.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При выполнении письменного анализа следует исходить из того, что под правовым режимом предпринимательской деятельности в юридической науке принято понимать «</w:t>
      </w:r>
      <w:r>
        <w:rPr>
          <w:rStyle w:val="s1"/>
          <w:b/>
          <w:bCs/>
        </w:rPr>
        <w:t>совокупность предусмотренных законом и учредительными документами прав и обязанностей предпринимателя, осуществление которых способствует достижению конкретной, специфической цели правового регулирования»</w:t>
      </w:r>
      <w:r>
        <w:t>.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Для раскрытия правового режима предпринимательства в отдельной сфере экономики необходимо исследовать следующие его элементы: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наличие нормативных актов, регулирующих данную сферу экономической деятельности;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определение правового статуса субъектов деятельности и специфических режимных требований к ним; 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структура договорных связей при осуществлении данного вида деятельности;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установление правил осуществления данного вида деятельности;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определение компетенции органов государственной власти, осуществляющих регулирование данного вида деятельности;</w:t>
      </w:r>
    </w:p>
    <w:p w:rsidR="007D5F67" w:rsidRDefault="007D5F67" w:rsidP="007D5F67">
      <w:pPr>
        <w:pStyle w:val="p4"/>
        <w:spacing w:after="199" w:afterAutospacing="0"/>
        <w:ind w:firstLine="708"/>
        <w:jc w:val="both"/>
      </w:pPr>
      <w:r>
        <w:t>- государственный контроль надзор за соблюдением требований законодательства при осуществлении данного вида деятельности;</w:t>
      </w:r>
    </w:p>
    <w:p w:rsidR="007D5F67" w:rsidRDefault="007D5F67" w:rsidP="007D5F67">
      <w:pPr>
        <w:pStyle w:val="p3"/>
        <w:ind w:firstLine="708"/>
        <w:jc w:val="both"/>
      </w:pPr>
      <w:r>
        <w:t>- специфика ответственности субъектов.</w:t>
      </w:r>
    </w:p>
    <w:p w:rsidR="007D5F67" w:rsidRDefault="007D5F67" w:rsidP="007D5F67">
      <w:pPr>
        <w:pStyle w:val="p3"/>
        <w:ind w:firstLine="708"/>
        <w:jc w:val="both"/>
      </w:pPr>
      <w:r>
        <w:t>Объем письменного анализа не должен превышать 18 страниц (исключая титульный лист и список использованной литературы) формата А4, выполненных шрифтом Times New Roman 14, междустрочный интервал – 1,5 строки.</w:t>
      </w:r>
    </w:p>
    <w:p w:rsidR="008967C6" w:rsidRDefault="008967C6"/>
    <w:sectPr w:rsidR="008967C6" w:rsidSect="0089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F67"/>
    <w:rsid w:val="007D5F67"/>
    <w:rsid w:val="008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D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5F67"/>
  </w:style>
  <w:style w:type="character" w:customStyle="1" w:styleId="s2">
    <w:name w:val="s2"/>
    <w:basedOn w:val="a0"/>
    <w:rsid w:val="007D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2017-02-01T14:07:00Z</dcterms:created>
  <dcterms:modified xsi:type="dcterms:W3CDTF">2017-02-01T14:07:00Z</dcterms:modified>
</cp:coreProperties>
</file>